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再审申请表</w:t>
      </w:r>
    </w:p>
    <w:tbl>
      <w:tblPr>
        <w:tblStyle w:val="3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880"/>
        <w:gridCol w:w="2134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一、再审类别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□初始审查后再审   □跟踪审查后再审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二、修正情况（可附修正说明）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完全按伦理审查意见修改的部分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参考伦理审查意见修改的部分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没有修改，对伦理审查意见的说明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473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2024-01-25T02:20:46Z</dcterms:created>
  <dc:creator>Administrator</dc:creator>
  <cp:lastModifiedBy>小翠儿~</cp:lastModifiedBy>
  <dcterms:modified xsi:type="dcterms:W3CDTF">2024-01-25T02:21:07Z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E7F434F48B8D4A64866B108A66ACEEBE_12</vt:lpwstr>
  </property>
</Properties>
</file>