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71AC7">
      <w:pPr>
        <w:pStyle w:val="2"/>
        <w:ind w:left="0" w:leftChars="0" w:firstLine="0" w:firstLineChars="0"/>
        <w:jc w:val="center"/>
        <w:rPr>
          <w:rFonts w:hint="eastAsia"/>
          <w:b/>
          <w:bCs/>
          <w:lang w:eastAsia="zh-CN"/>
        </w:rPr>
      </w:pPr>
      <w:bookmarkStart w:id="18" w:name="_GoBack"/>
      <w:bookmarkEnd w:id="18"/>
      <w:r>
        <w:rPr>
          <w:rFonts w:hint="eastAsia"/>
          <w:b/>
          <w:bCs/>
          <w:lang w:eastAsia="zh-CN"/>
        </w:rPr>
        <w:t>采购需求</w:t>
      </w:r>
    </w:p>
    <w:p w14:paraId="0E94DFCC">
      <w:pPr>
        <w:rPr>
          <w:rFonts w:hint="eastAsia"/>
          <w:lang w:eastAsia="zh-CN"/>
        </w:rPr>
      </w:pPr>
      <w:r>
        <w:rPr>
          <w:rFonts w:hint="eastAsia"/>
          <w:lang w:eastAsia="zh-CN"/>
        </w:rPr>
        <w:t>一、采购清单</w:t>
      </w:r>
    </w:p>
    <w:tbl>
      <w:tblPr>
        <w:tblStyle w:val="16"/>
        <w:tblW w:w="5849" w:type="pct"/>
        <w:jc w:val="center"/>
        <w:tblLayout w:type="fixed"/>
        <w:tblCellMar>
          <w:top w:w="0" w:type="dxa"/>
          <w:left w:w="108" w:type="dxa"/>
          <w:bottom w:w="0" w:type="dxa"/>
          <w:right w:w="108" w:type="dxa"/>
        </w:tblCellMar>
      </w:tblPr>
      <w:tblGrid>
        <w:gridCol w:w="712"/>
        <w:gridCol w:w="2581"/>
        <w:gridCol w:w="876"/>
        <w:gridCol w:w="981"/>
        <w:gridCol w:w="878"/>
        <w:gridCol w:w="1228"/>
        <w:gridCol w:w="1294"/>
        <w:gridCol w:w="1420"/>
      </w:tblGrid>
      <w:tr w14:paraId="57FE01E0">
        <w:tblPrEx>
          <w:tblCellMar>
            <w:top w:w="0" w:type="dxa"/>
            <w:left w:w="108" w:type="dxa"/>
            <w:bottom w:w="0" w:type="dxa"/>
            <w:right w:w="108" w:type="dxa"/>
          </w:tblCellMar>
        </w:tblPrEx>
        <w:trPr>
          <w:trHeight w:val="337" w:hRule="atLeast"/>
          <w:jc w:val="center"/>
        </w:trPr>
        <w:tc>
          <w:tcPr>
            <w:tcW w:w="357" w:type="pct"/>
            <w:vMerge w:val="restart"/>
            <w:tcBorders>
              <w:top w:val="single" w:color="auto" w:sz="4" w:space="0"/>
              <w:left w:val="single" w:color="auto" w:sz="4" w:space="0"/>
              <w:right w:val="single" w:color="auto" w:sz="4" w:space="0"/>
            </w:tcBorders>
            <w:noWrap w:val="0"/>
            <w:vAlign w:val="center"/>
          </w:tcPr>
          <w:p w14:paraId="232F111C">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序号</w:t>
            </w:r>
          </w:p>
        </w:tc>
        <w:tc>
          <w:tcPr>
            <w:tcW w:w="1294" w:type="pct"/>
            <w:vMerge w:val="restart"/>
            <w:tcBorders>
              <w:top w:val="single" w:color="auto" w:sz="4" w:space="0"/>
              <w:left w:val="nil"/>
              <w:right w:val="single" w:color="auto" w:sz="4" w:space="0"/>
            </w:tcBorders>
            <w:noWrap w:val="0"/>
            <w:vAlign w:val="center"/>
          </w:tcPr>
          <w:p w14:paraId="26092DCF">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采购标的名称</w:t>
            </w:r>
          </w:p>
        </w:tc>
        <w:tc>
          <w:tcPr>
            <w:tcW w:w="1371" w:type="pct"/>
            <w:gridSpan w:val="3"/>
            <w:tcBorders>
              <w:top w:val="single" w:color="auto" w:sz="4" w:space="0"/>
              <w:left w:val="nil"/>
              <w:bottom w:val="single" w:color="auto" w:sz="4" w:space="0"/>
              <w:right w:val="single" w:color="auto" w:sz="4" w:space="0"/>
            </w:tcBorders>
            <w:noWrap w:val="0"/>
            <w:vAlign w:val="center"/>
          </w:tcPr>
          <w:p w14:paraId="3614C211">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eastAsia="zh-CN"/>
              </w:rPr>
              <w:t>服务内容</w:t>
            </w:r>
          </w:p>
        </w:tc>
        <w:tc>
          <w:tcPr>
            <w:tcW w:w="615" w:type="pct"/>
            <w:vMerge w:val="restart"/>
            <w:tcBorders>
              <w:top w:val="single" w:color="auto" w:sz="4" w:space="0"/>
              <w:left w:val="nil"/>
              <w:right w:val="single" w:color="auto" w:sz="4" w:space="0"/>
            </w:tcBorders>
            <w:noWrap w:val="0"/>
            <w:vAlign w:val="center"/>
          </w:tcPr>
          <w:p w14:paraId="7E338737">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eastAsia="zh-CN"/>
              </w:rPr>
              <w:t>最高限价</w:t>
            </w:r>
          </w:p>
        </w:tc>
        <w:tc>
          <w:tcPr>
            <w:tcW w:w="648" w:type="pct"/>
            <w:vMerge w:val="restart"/>
            <w:tcBorders>
              <w:top w:val="single" w:color="auto" w:sz="4" w:space="0"/>
              <w:left w:val="nil"/>
              <w:right w:val="single" w:color="auto" w:sz="4" w:space="0"/>
            </w:tcBorders>
            <w:noWrap w:val="0"/>
            <w:vAlign w:val="center"/>
          </w:tcPr>
          <w:p w14:paraId="11D8DE70">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所属行业</w:t>
            </w:r>
          </w:p>
        </w:tc>
        <w:tc>
          <w:tcPr>
            <w:tcW w:w="712" w:type="pct"/>
            <w:vMerge w:val="restart"/>
            <w:tcBorders>
              <w:top w:val="single" w:color="auto" w:sz="4" w:space="0"/>
              <w:left w:val="nil"/>
              <w:right w:val="single" w:color="auto" w:sz="4" w:space="0"/>
            </w:tcBorders>
            <w:noWrap w:val="0"/>
            <w:vAlign w:val="center"/>
          </w:tcPr>
          <w:p w14:paraId="4C83C31B">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要求/备注</w:t>
            </w:r>
          </w:p>
        </w:tc>
      </w:tr>
      <w:tr w14:paraId="2ABFADA5">
        <w:tblPrEx>
          <w:tblCellMar>
            <w:top w:w="0" w:type="dxa"/>
            <w:left w:w="108" w:type="dxa"/>
            <w:bottom w:w="0" w:type="dxa"/>
            <w:right w:w="108" w:type="dxa"/>
          </w:tblCellMar>
        </w:tblPrEx>
        <w:trPr>
          <w:trHeight w:val="252" w:hRule="atLeast"/>
          <w:jc w:val="center"/>
        </w:trPr>
        <w:tc>
          <w:tcPr>
            <w:tcW w:w="357" w:type="pct"/>
            <w:vMerge w:val="continue"/>
            <w:tcBorders>
              <w:left w:val="single" w:color="auto" w:sz="4" w:space="0"/>
              <w:bottom w:val="single" w:color="auto" w:sz="4" w:space="0"/>
              <w:right w:val="single" w:color="auto" w:sz="4" w:space="0"/>
            </w:tcBorders>
            <w:noWrap w:val="0"/>
            <w:vAlign w:val="center"/>
          </w:tcPr>
          <w:p w14:paraId="49683F87">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1294" w:type="pct"/>
            <w:vMerge w:val="continue"/>
            <w:tcBorders>
              <w:left w:val="nil"/>
              <w:bottom w:val="single" w:color="auto" w:sz="4" w:space="0"/>
              <w:right w:val="single" w:color="auto" w:sz="4" w:space="0"/>
            </w:tcBorders>
            <w:noWrap w:val="0"/>
            <w:vAlign w:val="center"/>
          </w:tcPr>
          <w:p w14:paraId="7923A30F">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439" w:type="pct"/>
            <w:tcBorders>
              <w:top w:val="single" w:color="auto" w:sz="4" w:space="0"/>
              <w:left w:val="nil"/>
              <w:bottom w:val="single" w:color="auto" w:sz="4" w:space="0"/>
              <w:right w:val="single" w:color="auto" w:sz="4" w:space="0"/>
            </w:tcBorders>
            <w:noWrap w:val="0"/>
            <w:vAlign w:val="center"/>
          </w:tcPr>
          <w:p w14:paraId="51178740">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eastAsia="zh-CN"/>
              </w:rPr>
              <w:t>空压机数量</w:t>
            </w:r>
          </w:p>
        </w:tc>
        <w:tc>
          <w:tcPr>
            <w:tcW w:w="491" w:type="pct"/>
            <w:tcBorders>
              <w:top w:val="single" w:color="auto" w:sz="4" w:space="0"/>
              <w:left w:val="nil"/>
              <w:bottom w:val="single" w:color="auto" w:sz="4" w:space="0"/>
              <w:right w:val="single" w:color="auto" w:sz="4" w:space="0"/>
            </w:tcBorders>
            <w:noWrap w:val="0"/>
            <w:vAlign w:val="center"/>
          </w:tcPr>
          <w:p w14:paraId="01E06E28">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eastAsia="zh-CN"/>
              </w:rPr>
            </w:pPr>
            <w:r>
              <w:rPr>
                <w:rFonts w:hint="eastAsia"/>
                <w:color w:val="auto"/>
                <w:highlight w:val="none"/>
                <w:lang w:eastAsia="zh-CN"/>
              </w:rPr>
              <w:t>干燥器数量</w:t>
            </w:r>
          </w:p>
        </w:tc>
        <w:tc>
          <w:tcPr>
            <w:tcW w:w="440" w:type="pct"/>
            <w:tcBorders>
              <w:top w:val="single" w:color="auto" w:sz="4" w:space="0"/>
              <w:left w:val="nil"/>
              <w:bottom w:val="single" w:color="auto" w:sz="4" w:space="0"/>
              <w:right w:val="single" w:color="auto" w:sz="4" w:space="0"/>
            </w:tcBorders>
            <w:noWrap w:val="0"/>
            <w:vAlign w:val="center"/>
          </w:tcPr>
          <w:p w14:paraId="6EF7A48E">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eastAsia="zh-CN"/>
              </w:rPr>
              <w:t>负压机数量</w:t>
            </w:r>
          </w:p>
        </w:tc>
        <w:tc>
          <w:tcPr>
            <w:tcW w:w="615" w:type="pct"/>
            <w:vMerge w:val="continue"/>
            <w:tcBorders>
              <w:left w:val="nil"/>
              <w:bottom w:val="single" w:color="auto" w:sz="4" w:space="0"/>
              <w:right w:val="single" w:color="auto" w:sz="4" w:space="0"/>
            </w:tcBorders>
            <w:noWrap w:val="0"/>
            <w:vAlign w:val="center"/>
          </w:tcPr>
          <w:p w14:paraId="3D21DB42">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648" w:type="pct"/>
            <w:vMerge w:val="continue"/>
            <w:tcBorders>
              <w:left w:val="nil"/>
              <w:bottom w:val="single" w:color="auto" w:sz="4" w:space="0"/>
              <w:right w:val="single" w:color="auto" w:sz="4" w:space="0"/>
            </w:tcBorders>
            <w:noWrap w:val="0"/>
            <w:vAlign w:val="center"/>
          </w:tcPr>
          <w:p w14:paraId="17FB6543">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712" w:type="pct"/>
            <w:vMerge w:val="continue"/>
            <w:tcBorders>
              <w:left w:val="nil"/>
              <w:bottom w:val="single" w:color="auto" w:sz="4" w:space="0"/>
              <w:right w:val="single" w:color="auto" w:sz="4" w:space="0"/>
            </w:tcBorders>
            <w:noWrap w:val="0"/>
            <w:vAlign w:val="center"/>
          </w:tcPr>
          <w:p w14:paraId="20893665">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r>
      <w:tr w14:paraId="71C9F4B1">
        <w:tblPrEx>
          <w:tblCellMar>
            <w:top w:w="0" w:type="dxa"/>
            <w:left w:w="108" w:type="dxa"/>
            <w:bottom w:w="0" w:type="dxa"/>
            <w:right w:w="108" w:type="dxa"/>
          </w:tblCellMar>
        </w:tblPrEx>
        <w:trPr>
          <w:trHeight w:val="470" w:hRule="atLeast"/>
          <w:jc w:val="center"/>
        </w:trPr>
        <w:tc>
          <w:tcPr>
            <w:tcW w:w="357" w:type="pct"/>
            <w:tcBorders>
              <w:top w:val="single" w:color="auto" w:sz="4" w:space="0"/>
              <w:left w:val="single" w:color="auto" w:sz="4" w:space="0"/>
              <w:bottom w:val="single" w:color="auto" w:sz="4" w:space="0"/>
              <w:right w:val="single" w:color="auto" w:sz="4" w:space="0"/>
            </w:tcBorders>
            <w:noWrap w:val="0"/>
            <w:vAlign w:val="center"/>
          </w:tcPr>
          <w:p w14:paraId="467D38E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lang w:val="en-US" w:eastAsia="zh-CN"/>
              </w:rPr>
              <w:t>1</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7CEF5B67">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highlight w:val="none"/>
                <w:lang w:val="en-US" w:eastAsia="zh-CN"/>
              </w:rPr>
            </w:pPr>
            <w:r>
              <w:rPr>
                <w:rFonts w:hint="eastAsia" w:cstheme="minorBidi"/>
                <w:color w:val="auto"/>
                <w:kern w:val="2"/>
                <w:sz w:val="24"/>
                <w:szCs w:val="24"/>
                <w:lang w:val="en-US" w:eastAsia="zh-CN" w:bidi="ar-SA"/>
              </w:rPr>
              <w:t>黄冈市中心医院</w:t>
            </w:r>
            <w:r>
              <w:rPr>
                <w:rFonts w:hint="eastAsia" w:ascii="宋体" w:hAnsi="宋体" w:eastAsia="宋体" w:cstheme="minorBidi"/>
                <w:color w:val="auto"/>
                <w:kern w:val="2"/>
                <w:sz w:val="24"/>
                <w:szCs w:val="24"/>
                <w:lang w:val="en-US" w:eastAsia="zh-CN" w:bidi="ar-SA"/>
              </w:rPr>
              <w:t>空压、负压机组维保服务</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26DB3C28">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olor w:val="auto"/>
                <w:highlight w:val="none"/>
                <w:lang w:val="en-US" w:eastAsia="zh-CN"/>
              </w:rPr>
            </w:pPr>
            <w:r>
              <w:rPr>
                <w:rFonts w:hint="eastAsia" w:ascii="宋体" w:hAnsi="宋体" w:eastAsia="宋体"/>
                <w:color w:val="auto"/>
                <w:lang w:val="en-US" w:eastAsia="zh-CN"/>
              </w:rPr>
              <w:t>2</w:t>
            </w:r>
            <w:r>
              <w:rPr>
                <w:rFonts w:hint="eastAsia"/>
                <w:color w:val="auto"/>
                <w:lang w:val="en-US" w:eastAsia="zh-CN"/>
              </w:rPr>
              <w:t>台</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36BDDF64">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color w:val="auto"/>
                <w:lang w:val="en-US" w:eastAsia="zh-CN"/>
              </w:rPr>
            </w:pPr>
            <w:r>
              <w:rPr>
                <w:rFonts w:hint="eastAsia"/>
                <w:color w:val="auto"/>
                <w:lang w:val="en-US" w:eastAsia="zh-CN"/>
              </w:rPr>
              <w:t>2台</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401E8ED5">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olor w:val="auto"/>
                <w:highlight w:val="none"/>
                <w:lang w:val="en-US" w:eastAsia="zh-CN"/>
              </w:rPr>
            </w:pPr>
            <w:r>
              <w:rPr>
                <w:rFonts w:hint="eastAsia"/>
                <w:color w:val="auto"/>
                <w:lang w:val="en-US" w:eastAsia="zh-CN"/>
              </w:rPr>
              <w:t>6台</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242D1340">
            <w:pPr>
              <w:pStyle w:val="21"/>
              <w:jc w:val="center"/>
              <w:rPr>
                <w:rFonts w:hint="default" w:ascii="宋体" w:hAnsi="宋体" w:eastAsia="宋体"/>
                <w:color w:val="auto"/>
                <w:highlight w:val="none"/>
                <w:lang w:val="en-US" w:eastAsia="zh-CN"/>
              </w:rPr>
            </w:pPr>
            <w:r>
              <w:rPr>
                <w:rFonts w:hint="eastAsia"/>
                <w:color w:val="auto"/>
                <w:lang w:val="en-US" w:eastAsia="zh-CN"/>
              </w:rPr>
              <w:t>3.52万元</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62FAEC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olor w:val="auto"/>
                <w:highlight w:val="none"/>
                <w:lang w:val="en-US" w:eastAsia="zh-CN"/>
              </w:rPr>
            </w:pPr>
            <w:r>
              <w:rPr>
                <w:rFonts w:hint="eastAsia" w:ascii="宋体" w:hAnsi="宋体" w:eastAsia="宋体" w:cs="仿宋_GB2312"/>
                <w:color w:val="auto"/>
                <w:szCs w:val="24"/>
                <w:highlight w:val="none"/>
                <w:u w:val="none"/>
                <w:lang w:val="en-US" w:eastAsia="zh-CN"/>
              </w:rPr>
              <w:t>其他未列明行业</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85B6C2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专门面向中小企业采购</w:t>
            </w:r>
          </w:p>
        </w:tc>
      </w:tr>
      <w:tr w14:paraId="6D600C0B">
        <w:tblPrEx>
          <w:tblCellMar>
            <w:top w:w="0" w:type="dxa"/>
            <w:left w:w="108" w:type="dxa"/>
            <w:bottom w:w="0" w:type="dxa"/>
            <w:right w:w="108" w:type="dxa"/>
          </w:tblCellMar>
        </w:tblPrEx>
        <w:trPr>
          <w:trHeight w:val="965"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22153557">
            <w:pPr>
              <w:pStyle w:val="2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theme="minorBidi"/>
                <w:color w:val="auto"/>
                <w:kern w:val="2"/>
                <w:sz w:val="24"/>
                <w:szCs w:val="24"/>
                <w:lang w:val="en-US" w:eastAsia="zh-CN" w:bidi="ar-SA"/>
              </w:rPr>
            </w:pPr>
            <w:r>
              <w:rPr>
                <w:rFonts w:hint="eastAsia" w:cstheme="minorBidi"/>
                <w:color w:val="auto"/>
                <w:kern w:val="2"/>
                <w:sz w:val="24"/>
                <w:szCs w:val="24"/>
                <w:lang w:val="en-US" w:eastAsia="zh-CN" w:bidi="ar-SA"/>
              </w:rPr>
              <w:t>空压机型号：阿特拉斯ZT55-8CLASSIC CHN 380/50；干燥器型号：阿特拉斯F180；负压机型号：贝克真空泵VTLF2.250/0-79</w:t>
            </w:r>
          </w:p>
        </w:tc>
      </w:tr>
    </w:tbl>
    <w:p w14:paraId="35042C8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color w:val="auto"/>
          <w:lang w:val="en-US" w:eastAsia="zh-CN"/>
        </w:rPr>
      </w:pPr>
      <w:r>
        <w:rPr>
          <w:rFonts w:hint="eastAsia"/>
          <w:b/>
          <w:bCs/>
          <w:color w:val="auto"/>
          <w:lang w:val="en-US" w:eastAsia="zh-CN"/>
        </w:rPr>
        <w:t>二、项目概况</w:t>
      </w:r>
    </w:p>
    <w:p w14:paraId="3B8DCD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color w:val="auto"/>
          <w:highlight w:val="none"/>
          <w:lang w:val="en-US" w:eastAsia="zh-CN"/>
        </w:rPr>
      </w:pPr>
      <w:r>
        <w:rPr>
          <w:rFonts w:hint="eastAsia"/>
          <w:color w:val="auto"/>
          <w:highlight w:val="none"/>
          <w:lang w:val="en-US" w:eastAsia="zh-CN"/>
        </w:rPr>
        <w:t>本项目由黄冈市中心医院采购，成交供应商签订合同后需按照《医院医用气体管理规范》要求，对黄冈市中心医院空压和负压等设备设施进行维护保养和定期检测。</w:t>
      </w:r>
    </w:p>
    <w:p w14:paraId="2B87CA8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b/>
          <w:bCs/>
          <w:color w:val="auto"/>
          <w:lang w:val="en-US" w:eastAsia="zh-CN"/>
        </w:rPr>
      </w:pPr>
      <w:bookmarkStart w:id="0" w:name="_Toc117244370"/>
      <w:bookmarkStart w:id="1" w:name="_Toc107561288"/>
      <w:bookmarkStart w:id="2" w:name="_Toc494561955"/>
      <w:bookmarkStart w:id="3" w:name="_Toc102056234"/>
      <w:bookmarkStart w:id="4" w:name="_Toc511889433"/>
      <w:bookmarkStart w:id="5" w:name="_Toc102119869"/>
      <w:bookmarkStart w:id="6" w:name="_Toc102114936"/>
      <w:bookmarkStart w:id="7" w:name="_Toc102057734"/>
      <w:bookmarkStart w:id="8" w:name="_Toc155185892"/>
      <w:bookmarkStart w:id="9" w:name="_Toc102116168"/>
      <w:bookmarkStart w:id="10" w:name="_Toc2020"/>
      <w:bookmarkStart w:id="11" w:name="_Toc102116038"/>
      <w:bookmarkStart w:id="12" w:name="_Toc511894511"/>
      <w:bookmarkStart w:id="13" w:name="_Toc122685178"/>
      <w:bookmarkStart w:id="14" w:name="_Toc117244485"/>
      <w:bookmarkStart w:id="15" w:name="_Toc2023"/>
      <w:r>
        <w:rPr>
          <w:rFonts w:hint="eastAsia"/>
          <w:b/>
          <w:bCs/>
          <w:color w:val="auto"/>
          <w:lang w:val="en-US" w:eastAsia="zh-CN"/>
        </w:rPr>
        <w:t>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b/>
          <w:bCs/>
          <w:color w:val="auto"/>
          <w:lang w:val="en-US" w:eastAsia="zh-CN"/>
        </w:rPr>
        <w:t>技术服务内容要求</w:t>
      </w:r>
      <w:bookmarkEnd w:id="15"/>
    </w:p>
    <w:p w14:paraId="7C74774B">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bookmarkStart w:id="16" w:name="_Hlk100243913"/>
      <w:r>
        <w:rPr>
          <w:rFonts w:hint="eastAsia" w:ascii="宋体" w:hAnsi="宋体" w:eastAsia="宋体"/>
          <w:b w:val="0"/>
          <w:bCs w:val="0"/>
          <w:color w:val="auto"/>
          <w:highlight w:val="none"/>
          <w:lang w:val="en-US" w:eastAsia="zh-CN"/>
        </w:rPr>
        <w:t>★1.定期保养：</w:t>
      </w:r>
      <w:r>
        <w:rPr>
          <w:rFonts w:hint="eastAsia"/>
          <w:b w:val="0"/>
          <w:bCs w:val="0"/>
          <w:color w:val="auto"/>
          <w:highlight w:val="none"/>
          <w:lang w:val="en-US" w:eastAsia="zh-CN"/>
        </w:rPr>
        <w:t>供应商应</w:t>
      </w:r>
      <w:r>
        <w:rPr>
          <w:rFonts w:hint="eastAsia" w:ascii="宋体" w:hAnsi="宋体" w:eastAsia="宋体"/>
          <w:b w:val="0"/>
          <w:bCs w:val="0"/>
          <w:color w:val="auto"/>
          <w:highlight w:val="none"/>
          <w:lang w:val="en-US" w:eastAsia="zh-CN"/>
        </w:rPr>
        <w:t>根据</w:t>
      </w:r>
      <w:r>
        <w:rPr>
          <w:rFonts w:hint="eastAsia"/>
          <w:b w:val="0"/>
          <w:bCs w:val="0"/>
          <w:color w:val="auto"/>
          <w:highlight w:val="none"/>
          <w:lang w:val="en-US" w:eastAsia="zh-CN"/>
        </w:rPr>
        <w:t>采购人</w:t>
      </w:r>
      <w:r>
        <w:rPr>
          <w:rFonts w:hint="eastAsia" w:ascii="宋体" w:hAnsi="宋体" w:eastAsia="宋体"/>
          <w:b w:val="0"/>
          <w:bCs w:val="0"/>
          <w:color w:val="auto"/>
          <w:highlight w:val="none"/>
          <w:lang w:val="en-US" w:eastAsia="zh-CN"/>
        </w:rPr>
        <w:t>各成员单位实际情况制定保养方案，至少提供每月一次现场维护保养服务。</w:t>
      </w:r>
    </w:p>
    <w:p w14:paraId="529883AD">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2.故障排查：发现异常情况（如：异响、过热等），立即通知</w:t>
      </w:r>
      <w:r>
        <w:rPr>
          <w:rFonts w:hint="eastAsia"/>
          <w:b w:val="0"/>
          <w:bCs w:val="0"/>
          <w:color w:val="auto"/>
          <w:highlight w:val="none"/>
          <w:lang w:val="en-US" w:eastAsia="zh-CN"/>
        </w:rPr>
        <w:t>采购人</w:t>
      </w:r>
      <w:r>
        <w:rPr>
          <w:rFonts w:hint="eastAsia" w:ascii="宋体" w:hAnsi="宋体" w:eastAsia="宋体"/>
          <w:b w:val="0"/>
          <w:bCs w:val="0"/>
          <w:color w:val="auto"/>
          <w:highlight w:val="none"/>
          <w:lang w:val="en-US" w:eastAsia="zh-CN"/>
        </w:rPr>
        <w:t>相关人员，并提出维修解决方案。</w:t>
      </w:r>
    </w:p>
    <w:p w14:paraId="7B209471">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★3.定期检查：巡检需安排2名或2名以上专业技术人员共同完成，巡检人员要求熟悉各种空压、负压设备运行情况且有一定的维修经验，检查安全阀门、压力调节器等安全装置，确保其功能正常。</w:t>
      </w:r>
    </w:p>
    <w:p w14:paraId="2E59B1DC">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★4.委派维修保养需具备相应专业技术人员进行，且取得相关合格证书。</w:t>
      </w:r>
    </w:p>
    <w:p w14:paraId="416707A3">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★5.巡检人员在巡检过程发现的问题要立即处理，处理不了的要及时向部门主管汇报，并在《维保服务巡查记录本》上做好有关记录。</w:t>
      </w:r>
    </w:p>
    <w:p w14:paraId="2BDCBCD9">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★6.涉及到设备安全运行的问题首先根据现场情况应急处理，应急处理后马上通知相关部门，</w:t>
      </w:r>
      <w:r>
        <w:rPr>
          <w:rFonts w:hint="eastAsia"/>
          <w:b w:val="0"/>
          <w:bCs w:val="0"/>
          <w:color w:val="auto"/>
          <w:highlight w:val="none"/>
          <w:lang w:val="en-US" w:eastAsia="zh-CN"/>
        </w:rPr>
        <w:t>在</w:t>
      </w:r>
      <w:r>
        <w:rPr>
          <w:rFonts w:hint="eastAsia" w:ascii="宋体" w:hAnsi="宋体" w:eastAsia="宋体"/>
          <w:b w:val="0"/>
          <w:bCs w:val="0"/>
          <w:color w:val="auto"/>
          <w:highlight w:val="none"/>
          <w:lang w:val="en-US" w:eastAsia="zh-CN"/>
        </w:rPr>
        <w:t>质保期内的设备联系厂家售后人员进行维修，不在质保范围内的维修或配件、耗材更换由</w:t>
      </w:r>
      <w:r>
        <w:rPr>
          <w:rFonts w:hint="eastAsia"/>
          <w:b w:val="0"/>
          <w:bCs w:val="0"/>
          <w:color w:val="auto"/>
          <w:highlight w:val="none"/>
          <w:lang w:val="en-US" w:eastAsia="zh-CN"/>
        </w:rPr>
        <w:t>供应商</w:t>
      </w:r>
      <w:r>
        <w:rPr>
          <w:rFonts w:hint="eastAsia" w:ascii="宋体" w:hAnsi="宋体" w:eastAsia="宋体"/>
          <w:b w:val="0"/>
          <w:bCs w:val="0"/>
          <w:color w:val="auto"/>
          <w:highlight w:val="none"/>
          <w:lang w:val="en-US" w:eastAsia="zh-CN"/>
        </w:rPr>
        <w:t>负责进行维修。</w:t>
      </w:r>
    </w:p>
    <w:p w14:paraId="21B2394F">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★7.提供服务期内设备故障应急服务需求，24小</w:t>
      </w:r>
      <w:r>
        <w:rPr>
          <w:rFonts w:hint="eastAsia"/>
          <w:b w:val="0"/>
          <w:bCs w:val="0"/>
          <w:color w:val="auto"/>
          <w:highlight w:val="none"/>
          <w:lang w:val="en-US" w:eastAsia="zh-CN"/>
        </w:rPr>
        <w:t>时</w:t>
      </w:r>
      <w:r>
        <w:rPr>
          <w:rFonts w:hint="eastAsia" w:ascii="宋体" w:hAnsi="宋体" w:eastAsia="宋体"/>
          <w:b w:val="0"/>
          <w:bCs w:val="0"/>
          <w:color w:val="auto"/>
          <w:highlight w:val="none"/>
          <w:lang w:val="en-US" w:eastAsia="zh-CN"/>
        </w:rPr>
        <w:t>提供全面技术支持，1小时内到达现场排除故障，高效解决与处理并将故障损失控制在最低限度。</w:t>
      </w:r>
    </w:p>
    <w:p w14:paraId="416BF309">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8.维保服务方需提供对设备使用人员的全面培训，需有培训记录。</w:t>
      </w:r>
    </w:p>
    <w:p w14:paraId="799548D5">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★9.维保服务内</w:t>
      </w:r>
      <w:r>
        <w:rPr>
          <w:rFonts w:hint="eastAsia"/>
          <w:b w:val="0"/>
          <w:bCs w:val="0"/>
          <w:color w:val="auto"/>
          <w:highlight w:val="none"/>
          <w:lang w:val="en-US" w:eastAsia="zh-CN"/>
        </w:rPr>
        <w:t>免费</w:t>
      </w:r>
      <w:r>
        <w:rPr>
          <w:rFonts w:hint="eastAsia" w:ascii="宋体" w:hAnsi="宋体" w:eastAsia="宋体"/>
          <w:b w:val="0"/>
          <w:bCs w:val="0"/>
          <w:color w:val="auto"/>
          <w:highlight w:val="none"/>
          <w:lang w:val="en-US" w:eastAsia="zh-CN"/>
        </w:rPr>
        <w:t>提供整个机组所涉及正常消耗的零部件如下：</w:t>
      </w:r>
    </w:p>
    <w:p w14:paraId="7B784BAF">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空压机包含：空滤、油滤、齿轮箱呼吸阀过滤器、进气阀加载平衡膜片、压缩机油（马达）、中/后冷却器的EWD排水阀保养包、进气阀轴承塞、主马达驱动弹性连轴胶、平衡活塞膜片、马达驱动轴承、减振垫、消音器、进气阀单向阀维修保养等；</w:t>
      </w:r>
    </w:p>
    <w:p w14:paraId="4D77D8A3">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冷干机包含：风扇及轴承、压缩机、控制面板、自动排水阀、电路控制、软管；</w:t>
      </w:r>
    </w:p>
    <w:p w14:paraId="32957ACA">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真空泵：</w:t>
      </w:r>
      <w:r>
        <w:rPr>
          <w:rFonts w:hint="eastAsia"/>
          <w:b w:val="0"/>
          <w:bCs w:val="0"/>
          <w:color w:val="auto"/>
          <w:highlight w:val="none"/>
          <w:lang w:val="en-US" w:eastAsia="zh-CN"/>
        </w:rPr>
        <w:t>石墨片、</w:t>
      </w:r>
      <w:r>
        <w:rPr>
          <w:rFonts w:hint="eastAsia" w:ascii="宋体" w:hAnsi="宋体" w:eastAsia="宋体"/>
          <w:b w:val="0"/>
          <w:bCs w:val="0"/>
          <w:color w:val="auto"/>
          <w:highlight w:val="none"/>
          <w:lang w:val="en-US" w:eastAsia="zh-CN"/>
        </w:rPr>
        <w:t>空滤、轴封轴套、单向阀、滤芯</w:t>
      </w:r>
      <w:r>
        <w:rPr>
          <w:rFonts w:hint="eastAsia"/>
          <w:b w:val="0"/>
          <w:bCs w:val="0"/>
          <w:color w:val="auto"/>
          <w:highlight w:val="none"/>
          <w:lang w:val="en-US" w:eastAsia="zh-CN"/>
        </w:rPr>
        <w:t>、轴承润滑脂</w:t>
      </w:r>
      <w:r>
        <w:rPr>
          <w:rFonts w:hint="eastAsia" w:ascii="宋体" w:hAnsi="宋体" w:eastAsia="宋体"/>
          <w:b w:val="0"/>
          <w:bCs w:val="0"/>
          <w:color w:val="auto"/>
          <w:highlight w:val="none"/>
          <w:lang w:val="en-US" w:eastAsia="zh-CN"/>
        </w:rPr>
        <w:t>等；</w:t>
      </w:r>
    </w:p>
    <w:p w14:paraId="4354CDF7">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负压机组：</w:t>
      </w:r>
      <w:r>
        <w:rPr>
          <w:rFonts w:hint="eastAsia"/>
          <w:b w:val="0"/>
          <w:bCs w:val="0"/>
          <w:color w:val="auto"/>
          <w:highlight w:val="none"/>
          <w:lang w:val="en-US" w:eastAsia="zh-CN"/>
        </w:rPr>
        <w:t>负压吸引除菌过滤器</w:t>
      </w:r>
      <w:r>
        <w:rPr>
          <w:rFonts w:hint="eastAsia" w:ascii="宋体" w:hAnsi="宋体" w:eastAsia="宋体"/>
          <w:b w:val="0"/>
          <w:bCs w:val="0"/>
          <w:color w:val="auto"/>
          <w:highlight w:val="none"/>
          <w:lang w:val="en-US" w:eastAsia="zh-CN"/>
        </w:rPr>
        <w:t>、</w:t>
      </w:r>
      <w:r>
        <w:rPr>
          <w:rFonts w:hint="eastAsia"/>
          <w:b w:val="0"/>
          <w:bCs w:val="0"/>
          <w:color w:val="auto"/>
          <w:highlight w:val="none"/>
          <w:lang w:val="en-US" w:eastAsia="zh-CN"/>
        </w:rPr>
        <w:t>空气滤芯、</w:t>
      </w:r>
      <w:r>
        <w:rPr>
          <w:rFonts w:hint="eastAsia" w:ascii="宋体" w:hAnsi="宋体" w:eastAsia="宋体"/>
          <w:b w:val="0"/>
          <w:bCs w:val="0"/>
          <w:color w:val="auto"/>
          <w:highlight w:val="none"/>
          <w:lang w:val="en-US" w:eastAsia="zh-CN"/>
        </w:rPr>
        <w:t>电磁阀等；</w:t>
      </w:r>
    </w:p>
    <w:p w14:paraId="3D33492A">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其他配件：机组正常运行的所有配件，本次维保是保养+维修更换的全包，价格为包干价，维保期内</w:t>
      </w:r>
      <w:r>
        <w:rPr>
          <w:rFonts w:hint="eastAsia"/>
          <w:b w:val="0"/>
          <w:bCs w:val="0"/>
          <w:color w:val="auto"/>
          <w:highlight w:val="none"/>
          <w:lang w:val="en-US" w:eastAsia="zh-CN"/>
        </w:rPr>
        <w:t>供应商应</w:t>
      </w:r>
      <w:r>
        <w:rPr>
          <w:rFonts w:hint="eastAsia" w:ascii="宋体" w:hAnsi="宋体" w:eastAsia="宋体"/>
          <w:b w:val="0"/>
          <w:bCs w:val="0"/>
          <w:color w:val="auto"/>
          <w:highlight w:val="none"/>
          <w:lang w:val="en-US" w:eastAsia="zh-CN"/>
        </w:rPr>
        <w:t>满足</w:t>
      </w:r>
      <w:r>
        <w:rPr>
          <w:rFonts w:hint="eastAsia"/>
          <w:b w:val="0"/>
          <w:bCs w:val="0"/>
          <w:color w:val="auto"/>
          <w:highlight w:val="none"/>
          <w:lang w:val="en-US" w:eastAsia="zh-CN"/>
        </w:rPr>
        <w:t>采购人</w:t>
      </w:r>
      <w:r>
        <w:rPr>
          <w:rFonts w:hint="eastAsia" w:ascii="宋体" w:hAnsi="宋体" w:eastAsia="宋体"/>
          <w:b w:val="0"/>
          <w:bCs w:val="0"/>
          <w:color w:val="auto"/>
          <w:highlight w:val="none"/>
          <w:lang w:val="en-US" w:eastAsia="zh-CN"/>
        </w:rPr>
        <w:t>使用需求，</w:t>
      </w:r>
      <w:r>
        <w:rPr>
          <w:rFonts w:hint="eastAsia"/>
          <w:b w:val="0"/>
          <w:bCs w:val="0"/>
          <w:color w:val="auto"/>
          <w:highlight w:val="none"/>
          <w:lang w:val="en-US" w:eastAsia="zh-CN"/>
        </w:rPr>
        <w:t>采购人</w:t>
      </w:r>
      <w:r>
        <w:rPr>
          <w:rFonts w:hint="eastAsia" w:ascii="宋体" w:hAnsi="宋体" w:eastAsia="宋体"/>
          <w:b w:val="0"/>
          <w:bCs w:val="0"/>
          <w:color w:val="auto"/>
          <w:highlight w:val="none"/>
          <w:lang w:val="en-US" w:eastAsia="zh-CN"/>
        </w:rPr>
        <w:t>不再额外支出任何费用。</w:t>
      </w:r>
    </w:p>
    <w:p w14:paraId="3889A7A5">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10.</w:t>
      </w:r>
      <w:r>
        <w:rPr>
          <w:rFonts w:hint="eastAsia"/>
          <w:b w:val="0"/>
          <w:bCs w:val="0"/>
          <w:color w:val="auto"/>
          <w:highlight w:val="none"/>
          <w:lang w:val="en-US" w:eastAsia="zh-CN"/>
        </w:rPr>
        <w:t>供应商</w:t>
      </w:r>
      <w:r>
        <w:rPr>
          <w:rFonts w:hint="eastAsia" w:ascii="宋体" w:hAnsi="宋体" w:eastAsia="宋体"/>
          <w:b w:val="0"/>
          <w:bCs w:val="0"/>
          <w:color w:val="auto"/>
          <w:highlight w:val="none"/>
          <w:lang w:val="en-US" w:eastAsia="zh-CN"/>
        </w:rPr>
        <w:t>应当依据相关的标准规范，按照安装使用维护说明书的规定，并且根据所保养空压、负压机组的特点，制订合理的维保计划与方案维保方，并依据服务方案和计划进度逐项完成维保服务任务。</w:t>
      </w:r>
      <w:bookmarkEnd w:id="16"/>
    </w:p>
    <w:p w14:paraId="67F7CDA1">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★11.</w:t>
      </w:r>
      <w:r>
        <w:rPr>
          <w:rFonts w:hint="eastAsia"/>
          <w:b w:val="0"/>
          <w:bCs w:val="0"/>
          <w:color w:val="auto"/>
          <w:highlight w:val="none"/>
          <w:lang w:val="en-US" w:eastAsia="zh-CN"/>
        </w:rPr>
        <w:t>供应商</w:t>
      </w:r>
      <w:r>
        <w:rPr>
          <w:rFonts w:hint="eastAsia" w:ascii="宋体" w:hAnsi="宋体" w:eastAsia="宋体"/>
          <w:b w:val="0"/>
          <w:bCs w:val="0"/>
          <w:color w:val="auto"/>
          <w:highlight w:val="none"/>
          <w:lang w:val="en-US" w:eastAsia="zh-CN"/>
        </w:rPr>
        <w:t>拟派人员不得违反采购人的各项规章制度，维保服务不及时不到位，违背服务承诺的经核实，按1000元每次处罚。</w:t>
      </w:r>
    </w:p>
    <w:p w14:paraId="7C6C2E72">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★12.黄冈市中心医院，两台空压机为进口阿特拉斯无油空压机，所用维保耗材均要求，提供合格证、扫描二维码等。</w:t>
      </w:r>
    </w:p>
    <w:p w14:paraId="1CE16CB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color w:val="auto"/>
          <w:highlight w:val="none"/>
          <w:lang w:val="en-US" w:eastAsia="zh-CN"/>
        </w:rPr>
      </w:pPr>
      <w:bookmarkStart w:id="17" w:name="_Toc881"/>
      <w:r>
        <w:rPr>
          <w:rFonts w:hint="eastAsia"/>
          <w:b/>
          <w:bCs/>
          <w:color w:val="auto"/>
          <w:highlight w:val="none"/>
          <w:lang w:val="en-US" w:eastAsia="zh-CN"/>
        </w:rPr>
        <w:t>四、商务要求</w:t>
      </w:r>
      <w:bookmarkEnd w:id="17"/>
    </w:p>
    <w:p w14:paraId="6EF257B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1.服务期限：</w:t>
      </w:r>
      <w:r>
        <w:rPr>
          <w:rFonts w:hint="eastAsia"/>
          <w:b w:val="0"/>
          <w:bCs w:val="0"/>
          <w:color w:val="auto"/>
          <w:highlight w:val="none"/>
          <w:lang w:val="en-US" w:eastAsia="zh-CN"/>
        </w:rPr>
        <w:t>12个月</w:t>
      </w:r>
    </w:p>
    <w:p w14:paraId="019353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仿宋_GB2312"/>
          <w:color w:val="auto"/>
          <w:u w:val="none"/>
          <w:lang w:val="en-US" w:eastAsia="zh-CN"/>
        </w:rPr>
      </w:pPr>
      <w:r>
        <w:rPr>
          <w:rFonts w:hint="eastAsia"/>
          <w:b w:val="0"/>
          <w:bCs w:val="0"/>
          <w:color w:val="auto"/>
          <w:highlight w:val="none"/>
          <w:lang w:val="en-US" w:eastAsia="zh-CN"/>
        </w:rPr>
        <w:t>2</w:t>
      </w:r>
      <w:r>
        <w:rPr>
          <w:rFonts w:hint="eastAsia" w:ascii="宋体" w:hAnsi="宋体" w:eastAsia="宋体"/>
          <w:b w:val="0"/>
          <w:bCs w:val="0"/>
          <w:color w:val="auto"/>
          <w:highlight w:val="none"/>
          <w:lang w:val="en-US" w:eastAsia="zh-CN"/>
        </w:rPr>
        <w:t>.服务地点：</w:t>
      </w:r>
      <w:r>
        <w:rPr>
          <w:rFonts w:hint="eastAsia" w:cs="仿宋_GB2312"/>
          <w:color w:val="auto"/>
          <w:u w:val="none"/>
          <w:lang w:val="en-US" w:eastAsia="zh-CN"/>
        </w:rPr>
        <w:t>黄冈</w:t>
      </w:r>
      <w:r>
        <w:rPr>
          <w:rFonts w:hint="eastAsia" w:ascii="宋体" w:hAnsi="宋体" w:eastAsia="宋体" w:cs="仿宋_GB2312"/>
          <w:color w:val="auto"/>
          <w:u w:val="none"/>
          <w:lang w:val="en-US" w:eastAsia="zh-CN"/>
        </w:rPr>
        <w:t>市中心医院</w:t>
      </w:r>
    </w:p>
    <w:p w14:paraId="1974D4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cs="仿宋_GB2312"/>
          <w:color w:val="auto"/>
          <w:highlight w:val="none"/>
          <w:u w:val="none"/>
          <w:lang w:val="en-US" w:eastAsia="zh-CN"/>
        </w:rPr>
      </w:pPr>
      <w:r>
        <w:rPr>
          <w:rFonts w:hint="eastAsia"/>
          <w:b w:val="0"/>
          <w:bCs w:val="0"/>
          <w:color w:val="auto"/>
          <w:highlight w:val="none"/>
          <w:lang w:val="en-US" w:eastAsia="zh-CN"/>
        </w:rPr>
        <w:t>3</w:t>
      </w:r>
      <w:r>
        <w:rPr>
          <w:rFonts w:hint="eastAsia" w:ascii="宋体" w:hAnsi="宋体" w:eastAsia="宋体"/>
          <w:b w:val="0"/>
          <w:bCs w:val="0"/>
          <w:color w:val="auto"/>
          <w:highlight w:val="none"/>
          <w:lang w:val="en-US" w:eastAsia="zh-CN"/>
        </w:rPr>
        <w:t>.</w:t>
      </w:r>
      <w:r>
        <w:rPr>
          <w:rFonts w:hint="eastAsia" w:ascii="宋体" w:hAnsi="宋体" w:eastAsia="宋体" w:cs="仿宋_GB2312"/>
          <w:color w:val="auto"/>
          <w:highlight w:val="none"/>
          <w:u w:val="none"/>
        </w:rPr>
        <w:t>合同履行期限：</w:t>
      </w:r>
      <w:r>
        <w:rPr>
          <w:rFonts w:hint="eastAsia" w:cs="仿宋_GB2312"/>
          <w:color w:val="auto"/>
          <w:highlight w:val="none"/>
          <w:u w:val="none"/>
          <w:lang w:eastAsia="zh-CN"/>
        </w:rPr>
        <w:t>自签订合同之日起</w:t>
      </w:r>
      <w:r>
        <w:rPr>
          <w:rFonts w:hint="eastAsia" w:cs="仿宋_GB2312"/>
          <w:color w:val="auto"/>
          <w:highlight w:val="none"/>
          <w:u w:val="none"/>
          <w:lang w:val="en-US" w:eastAsia="zh-CN"/>
        </w:rPr>
        <w:t>12个月</w:t>
      </w:r>
    </w:p>
    <w:p w14:paraId="741366B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cs="仿宋_GB2312"/>
          <w:color w:val="auto"/>
          <w:highlight w:val="none"/>
          <w:u w:val="none"/>
          <w:lang w:val="en-US" w:eastAsia="zh-CN"/>
        </w:rPr>
      </w:pPr>
      <w:r>
        <w:rPr>
          <w:rFonts w:hint="eastAsia" w:cs="仿宋_GB2312"/>
          <w:color w:val="auto"/>
          <w:highlight w:val="none"/>
          <w:u w:val="none"/>
          <w:lang w:val="en-US" w:eastAsia="zh-CN"/>
        </w:rPr>
        <w:t>4.质量要求:</w:t>
      </w:r>
    </w:p>
    <w:p w14:paraId="6CA430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cs="仿宋_GB2312"/>
          <w:color w:val="auto"/>
          <w:highlight w:val="none"/>
          <w:u w:val="none"/>
          <w:lang w:val="en-US" w:eastAsia="zh-CN"/>
        </w:rPr>
      </w:pPr>
      <w:r>
        <w:rPr>
          <w:rFonts w:hint="eastAsia" w:cs="仿宋_GB2312"/>
          <w:color w:val="auto"/>
          <w:highlight w:val="none"/>
          <w:u w:val="none"/>
          <w:lang w:val="en-US" w:eastAsia="zh-CN"/>
        </w:rPr>
        <w:t>（1）维修保养应按设备的使用管理与维护保养规则执行及国家有关强制性标准、规范所要求的质量标准，并保证设备无安全隐患运行。</w:t>
      </w:r>
    </w:p>
    <w:p w14:paraId="671A25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cs="仿宋_GB2312"/>
          <w:color w:val="auto"/>
          <w:highlight w:val="none"/>
          <w:u w:val="none"/>
          <w:lang w:val="en-US" w:eastAsia="zh-CN"/>
        </w:rPr>
      </w:pPr>
      <w:r>
        <w:rPr>
          <w:rFonts w:hint="eastAsia" w:cs="仿宋_GB2312"/>
          <w:color w:val="auto"/>
          <w:highlight w:val="none"/>
          <w:u w:val="none"/>
          <w:lang w:val="en-US" w:eastAsia="zh-CN"/>
        </w:rPr>
        <w:t>（2）提供的零配件产品质量须具备合格证，同时提供调试及试运行所有的记录和报告。</w:t>
      </w:r>
    </w:p>
    <w:p w14:paraId="31EF06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cs="仿宋_GB2312"/>
          <w:color w:val="auto"/>
          <w:highlight w:val="none"/>
          <w:u w:val="none"/>
          <w:lang w:val="en-US" w:eastAsia="zh-CN"/>
        </w:rPr>
      </w:pPr>
      <w:r>
        <w:rPr>
          <w:rFonts w:hint="eastAsia" w:cs="仿宋_GB2312"/>
          <w:color w:val="auto"/>
          <w:highlight w:val="none"/>
          <w:u w:val="none"/>
          <w:lang w:val="en-US" w:eastAsia="zh-CN"/>
        </w:rPr>
        <w:t>（3）供应商应按</w:t>
      </w:r>
      <w:r>
        <w:rPr>
          <w:rFonts w:hint="eastAsia" w:cs="仿宋_GB2312"/>
          <w:strike w:val="0"/>
          <w:dstrike w:val="0"/>
          <w:color w:val="auto"/>
          <w:highlight w:val="none"/>
          <w:u w:val="none"/>
          <w:lang w:val="en-US" w:eastAsia="zh-CN"/>
        </w:rPr>
        <w:t>采购人</w:t>
      </w:r>
      <w:r>
        <w:rPr>
          <w:rFonts w:hint="eastAsia" w:cs="仿宋_GB2312"/>
          <w:color w:val="auto"/>
          <w:highlight w:val="none"/>
          <w:u w:val="none"/>
          <w:lang w:val="en-US" w:eastAsia="zh-CN"/>
        </w:rPr>
        <w:t>要求定期派遣专业维保人员对医疗集团各成员单位的空压、负压等设备设施等进行检修维保。</w:t>
      </w:r>
    </w:p>
    <w:p w14:paraId="0FE35AE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b w:val="0"/>
          <w:bCs w:val="0"/>
          <w:strike/>
          <w:dstrike w:val="0"/>
          <w:color w:val="auto"/>
          <w:highlight w:val="none"/>
          <w:lang w:val="en-US" w:eastAsia="zh-CN"/>
        </w:rPr>
      </w:pPr>
      <w:r>
        <w:rPr>
          <w:rFonts w:hint="eastAsia" w:cs="仿宋_GB2312"/>
          <w:color w:val="auto"/>
          <w:highlight w:val="none"/>
          <w:u w:val="none"/>
          <w:lang w:val="en-US" w:eastAsia="zh-CN"/>
        </w:rPr>
        <w:t>5.</w:t>
      </w:r>
      <w:r>
        <w:rPr>
          <w:rFonts w:hint="eastAsia" w:ascii="宋体" w:hAnsi="宋体" w:eastAsia="宋体"/>
          <w:b w:val="0"/>
          <w:bCs w:val="0"/>
          <w:color w:val="auto"/>
          <w:highlight w:val="none"/>
          <w:lang w:val="en-US" w:eastAsia="zh-CN"/>
        </w:rPr>
        <w:t>报价要求：</w:t>
      </w:r>
    </w:p>
    <w:p w14:paraId="6514C6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w:t>
      </w:r>
      <w:r>
        <w:rPr>
          <w:rFonts w:hint="eastAsia"/>
          <w:b w:val="0"/>
          <w:bCs w:val="0"/>
          <w:color w:val="auto"/>
          <w:highlight w:val="none"/>
          <w:lang w:val="en-US" w:eastAsia="zh-CN"/>
        </w:rPr>
        <w:t>1</w:t>
      </w:r>
      <w:r>
        <w:rPr>
          <w:rFonts w:hint="eastAsia" w:ascii="宋体" w:hAnsi="宋体" w:eastAsia="宋体"/>
          <w:b w:val="0"/>
          <w:bCs w:val="0"/>
          <w:color w:val="auto"/>
          <w:highlight w:val="none"/>
          <w:lang w:val="en-US" w:eastAsia="zh-CN"/>
        </w:rPr>
        <w:t>）</w:t>
      </w:r>
      <w:r>
        <w:rPr>
          <w:rFonts w:hint="eastAsia"/>
          <w:color w:val="auto"/>
          <w:highlight w:val="none"/>
        </w:rPr>
        <w:t>供应商</w:t>
      </w:r>
      <w:r>
        <w:rPr>
          <w:rFonts w:hint="eastAsia"/>
          <w:color w:val="auto"/>
          <w:highlight w:val="none"/>
          <w:lang w:eastAsia="zh-CN"/>
        </w:rPr>
        <w:t>总</w:t>
      </w:r>
      <w:r>
        <w:rPr>
          <w:rFonts w:hint="eastAsia"/>
          <w:color w:val="auto"/>
          <w:highlight w:val="none"/>
        </w:rPr>
        <w:t>报价应包含</w:t>
      </w:r>
      <w:r>
        <w:rPr>
          <w:rFonts w:hint="eastAsia"/>
          <w:color w:val="auto"/>
          <w:highlight w:val="none"/>
          <w:lang w:eastAsia="zh-CN"/>
        </w:rPr>
        <w:t>完成</w:t>
      </w:r>
      <w:r>
        <w:rPr>
          <w:rFonts w:hint="eastAsia"/>
          <w:color w:val="auto"/>
          <w:highlight w:val="none"/>
        </w:rPr>
        <w:t>本项目所需的一切费用，</w:t>
      </w:r>
      <w:r>
        <w:rPr>
          <w:rFonts w:hint="eastAsia"/>
          <w:color w:val="auto"/>
          <w:highlight w:val="none"/>
          <w:lang w:eastAsia="zh-CN"/>
        </w:rPr>
        <w:t>包括</w:t>
      </w:r>
      <w:r>
        <w:rPr>
          <w:rFonts w:hint="eastAsia"/>
          <w:color w:val="auto"/>
          <w:highlight w:val="none"/>
        </w:rPr>
        <w:t>对合同实施过程中可能发生的其它费用</w:t>
      </w:r>
      <w:r>
        <w:rPr>
          <w:rFonts w:hint="eastAsia"/>
          <w:color w:val="auto"/>
          <w:highlight w:val="none"/>
          <w:lang w:eastAsia="zh-CN"/>
        </w:rPr>
        <w:t>（</w:t>
      </w:r>
      <w:r>
        <w:rPr>
          <w:rFonts w:hint="eastAsia"/>
          <w:snapToGrid w:val="0"/>
          <w:color w:val="auto"/>
          <w:highlight w:val="none"/>
          <w:lang w:val="zh-CN"/>
        </w:rPr>
        <w:t>包括但不限于：交通费、工具费、管理费、材料、运输、安装调试、耗材和低值零配件、</w:t>
      </w:r>
      <w:r>
        <w:rPr>
          <w:rFonts w:hint="eastAsia"/>
          <w:snapToGrid w:val="0"/>
          <w:color w:val="auto"/>
          <w:highlight w:val="none"/>
          <w:lang w:val="zh-CN" w:eastAsia="zh-CN"/>
        </w:rPr>
        <w:t>检测检验、保险、培训验收、人员工资、社会保障资金、人员培训、福利、加班、其他保险、利润、税金、服务期及维保期内的维保费、设备故障或所需更换的设备零部件等全部费用</w:t>
      </w:r>
      <w:r>
        <w:rPr>
          <w:rFonts w:hint="eastAsia"/>
          <w:color w:val="auto"/>
          <w:highlight w:val="none"/>
          <w:lang w:eastAsia="zh-CN"/>
        </w:rPr>
        <w:t>）</w:t>
      </w:r>
    </w:p>
    <w:p w14:paraId="45C0A6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对于本</w:t>
      </w:r>
      <w:r>
        <w:rPr>
          <w:rFonts w:hint="eastAsia"/>
          <w:color w:val="auto"/>
          <w:highlight w:val="none"/>
          <w:lang w:eastAsia="zh-CN"/>
        </w:rPr>
        <w:t>谈判</w:t>
      </w:r>
      <w:r>
        <w:rPr>
          <w:rFonts w:hint="eastAsia"/>
          <w:color w:val="auto"/>
          <w:highlight w:val="none"/>
        </w:rPr>
        <w:t>文件中未列明，而</w:t>
      </w:r>
      <w:r>
        <w:rPr>
          <w:rFonts w:hint="eastAsia"/>
          <w:color w:val="auto"/>
          <w:highlight w:val="none"/>
          <w:lang w:eastAsia="zh-CN"/>
        </w:rPr>
        <w:t>谈判供应商</w:t>
      </w:r>
      <w:r>
        <w:rPr>
          <w:rFonts w:hint="eastAsia"/>
          <w:color w:val="auto"/>
          <w:highlight w:val="none"/>
        </w:rPr>
        <w:t>认为必须的费用也需</w:t>
      </w:r>
      <w:r>
        <w:rPr>
          <w:rFonts w:hint="eastAsia"/>
          <w:color w:val="auto"/>
          <w:highlight w:val="none"/>
          <w:lang w:val="en-US" w:eastAsia="zh-CN"/>
        </w:rPr>
        <w:t>计</w:t>
      </w:r>
      <w:r>
        <w:rPr>
          <w:rFonts w:hint="eastAsia"/>
          <w:color w:val="auto"/>
          <w:highlight w:val="none"/>
        </w:rPr>
        <w:t>入响应总报价</w:t>
      </w:r>
      <w:r>
        <w:rPr>
          <w:rFonts w:hint="eastAsia"/>
          <w:color w:val="auto"/>
          <w:highlight w:val="none"/>
          <w:lang w:eastAsia="zh-CN"/>
        </w:rPr>
        <w:t>，但不得单独列项。</w:t>
      </w:r>
      <w:r>
        <w:rPr>
          <w:rFonts w:hint="eastAsia"/>
          <w:color w:val="auto"/>
          <w:highlight w:val="none"/>
        </w:rPr>
        <w:t>在合同实施时，采购人将不予支付成交供应商没有</w:t>
      </w:r>
      <w:r>
        <w:rPr>
          <w:rFonts w:hint="eastAsia"/>
          <w:color w:val="auto"/>
          <w:highlight w:val="none"/>
          <w:lang w:val="en-US" w:eastAsia="zh-CN"/>
        </w:rPr>
        <w:t>计</w:t>
      </w:r>
      <w:r>
        <w:rPr>
          <w:rFonts w:hint="eastAsia"/>
          <w:color w:val="auto"/>
          <w:highlight w:val="none"/>
        </w:rPr>
        <w:t>入的项目费用，并认为此项目的费用已包括在响应总报价中</w:t>
      </w:r>
      <w:r>
        <w:rPr>
          <w:rFonts w:hint="eastAsia"/>
          <w:color w:val="auto"/>
          <w:highlight w:val="none"/>
          <w:lang w:eastAsia="zh-CN"/>
        </w:rPr>
        <w:t>。</w:t>
      </w:r>
    </w:p>
    <w:p w14:paraId="6914B0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color w:val="auto"/>
          <w:highlight w:val="none"/>
          <w:lang w:val="en-US" w:eastAsia="zh-CN"/>
        </w:rPr>
      </w:pPr>
      <w:r>
        <w:rPr>
          <w:rFonts w:hint="eastAsia"/>
          <w:color w:val="auto"/>
          <w:highlight w:val="none"/>
          <w:lang w:val="en-US" w:eastAsia="zh-CN"/>
        </w:rPr>
        <w:t>6.工作安排：成交供应商需提供维保方案计划给与</w:t>
      </w:r>
      <w:r>
        <w:rPr>
          <w:rFonts w:hint="eastAsia"/>
          <w:b w:val="0"/>
          <w:bCs w:val="0"/>
          <w:color w:val="auto"/>
          <w:highlight w:val="none"/>
          <w:lang w:val="en-US" w:eastAsia="zh-CN"/>
        </w:rPr>
        <w:t>采购人</w:t>
      </w:r>
      <w:r>
        <w:rPr>
          <w:rFonts w:hint="eastAsia"/>
          <w:color w:val="auto"/>
          <w:highlight w:val="none"/>
          <w:lang w:val="en-US" w:eastAsia="zh-CN"/>
        </w:rPr>
        <w:t>确认并执行。</w:t>
      </w:r>
    </w:p>
    <w:p w14:paraId="47DD66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snapToGrid w:val="0"/>
          <w:color w:val="auto"/>
          <w:highlight w:val="none"/>
          <w:lang w:val="en-US" w:eastAsia="zh-CN"/>
        </w:rPr>
      </w:pPr>
      <w:r>
        <w:rPr>
          <w:rFonts w:hint="eastAsia" w:ascii="宋体" w:hAnsi="宋体" w:eastAsia="宋体"/>
          <w:snapToGrid w:val="0"/>
          <w:color w:val="auto"/>
          <w:highlight w:val="none"/>
          <w:lang w:val="en-US" w:eastAsia="zh-CN"/>
        </w:rPr>
        <w:t>7.启动时间：合同签订后3日内启动。</w:t>
      </w:r>
    </w:p>
    <w:p w14:paraId="5EF38F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snapToGrid w:val="0"/>
          <w:color w:val="auto"/>
          <w:lang w:val="en-US" w:eastAsia="zh-CN"/>
        </w:rPr>
      </w:pPr>
      <w:r>
        <w:rPr>
          <w:rFonts w:hint="eastAsia" w:ascii="宋体" w:hAnsi="宋体" w:eastAsia="宋体"/>
          <w:snapToGrid w:val="0"/>
          <w:color w:val="auto"/>
          <w:lang w:val="en-US" w:eastAsia="zh-CN"/>
        </w:rPr>
        <w:t>8.付款方式：双方在合同中约定</w:t>
      </w:r>
    </w:p>
    <w:p w14:paraId="4A5F0F14">
      <w:pPr>
        <w:pStyle w:val="4"/>
      </w:pPr>
    </w:p>
    <w:p w14:paraId="2CDE9405"/>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80D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4448">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74448">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DB4D">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201C"/>
    <w:rsid w:val="009444C8"/>
    <w:rsid w:val="00FF779D"/>
    <w:rsid w:val="01144CD0"/>
    <w:rsid w:val="012435CA"/>
    <w:rsid w:val="01543C57"/>
    <w:rsid w:val="01596B8C"/>
    <w:rsid w:val="015E4AD6"/>
    <w:rsid w:val="01BD7AAE"/>
    <w:rsid w:val="020D41AD"/>
    <w:rsid w:val="03E53863"/>
    <w:rsid w:val="04BA422C"/>
    <w:rsid w:val="05D17A32"/>
    <w:rsid w:val="05DE68FD"/>
    <w:rsid w:val="05E355AA"/>
    <w:rsid w:val="06471FDD"/>
    <w:rsid w:val="086C5D2B"/>
    <w:rsid w:val="0A1B25E2"/>
    <w:rsid w:val="0A4F78C7"/>
    <w:rsid w:val="0A6273E5"/>
    <w:rsid w:val="0B871A6F"/>
    <w:rsid w:val="0C452B1A"/>
    <w:rsid w:val="0CC9374C"/>
    <w:rsid w:val="0D2C7836"/>
    <w:rsid w:val="0D6B035F"/>
    <w:rsid w:val="0E721383"/>
    <w:rsid w:val="0FBC2D1C"/>
    <w:rsid w:val="0FDA17CC"/>
    <w:rsid w:val="0FE62EDF"/>
    <w:rsid w:val="108D683E"/>
    <w:rsid w:val="11534160"/>
    <w:rsid w:val="11FF551A"/>
    <w:rsid w:val="12D20E80"/>
    <w:rsid w:val="138E6C8E"/>
    <w:rsid w:val="141C6857"/>
    <w:rsid w:val="154A11A2"/>
    <w:rsid w:val="158E5532"/>
    <w:rsid w:val="161F618A"/>
    <w:rsid w:val="163D0D06"/>
    <w:rsid w:val="166567D9"/>
    <w:rsid w:val="18133ACD"/>
    <w:rsid w:val="18866995"/>
    <w:rsid w:val="18C66D91"/>
    <w:rsid w:val="1AEF4386"/>
    <w:rsid w:val="1B497D6A"/>
    <w:rsid w:val="1BAF6202"/>
    <w:rsid w:val="1CB27210"/>
    <w:rsid w:val="1ED0096A"/>
    <w:rsid w:val="1ED7052F"/>
    <w:rsid w:val="1F1F369F"/>
    <w:rsid w:val="1F49071C"/>
    <w:rsid w:val="1F5D2CA7"/>
    <w:rsid w:val="201C373B"/>
    <w:rsid w:val="20A774A8"/>
    <w:rsid w:val="20C77B4A"/>
    <w:rsid w:val="217578B4"/>
    <w:rsid w:val="22465668"/>
    <w:rsid w:val="22ED192D"/>
    <w:rsid w:val="22F408A2"/>
    <w:rsid w:val="22F664C5"/>
    <w:rsid w:val="23B32608"/>
    <w:rsid w:val="25015F4D"/>
    <w:rsid w:val="253908EB"/>
    <w:rsid w:val="25870BDE"/>
    <w:rsid w:val="2B4A5600"/>
    <w:rsid w:val="2B940F83"/>
    <w:rsid w:val="2C7E0203"/>
    <w:rsid w:val="2EF31501"/>
    <w:rsid w:val="2F1C4B0A"/>
    <w:rsid w:val="308B2942"/>
    <w:rsid w:val="308D7E59"/>
    <w:rsid w:val="30BF083E"/>
    <w:rsid w:val="312C3E76"/>
    <w:rsid w:val="31FE7144"/>
    <w:rsid w:val="32C040AE"/>
    <w:rsid w:val="34192013"/>
    <w:rsid w:val="341D7D55"/>
    <w:rsid w:val="347A4A7D"/>
    <w:rsid w:val="39472CE8"/>
    <w:rsid w:val="3AF61300"/>
    <w:rsid w:val="3C391AC1"/>
    <w:rsid w:val="3C765730"/>
    <w:rsid w:val="3FF34060"/>
    <w:rsid w:val="412C3B26"/>
    <w:rsid w:val="414C7ECC"/>
    <w:rsid w:val="41742F7F"/>
    <w:rsid w:val="42D26EBB"/>
    <w:rsid w:val="42EE7532"/>
    <w:rsid w:val="42F47B1D"/>
    <w:rsid w:val="43C174BC"/>
    <w:rsid w:val="43D46C6D"/>
    <w:rsid w:val="447A6AFE"/>
    <w:rsid w:val="450D34CE"/>
    <w:rsid w:val="45A967C3"/>
    <w:rsid w:val="4677715B"/>
    <w:rsid w:val="46B67479"/>
    <w:rsid w:val="47867568"/>
    <w:rsid w:val="48EB1D78"/>
    <w:rsid w:val="49F509D5"/>
    <w:rsid w:val="4B714C54"/>
    <w:rsid w:val="4B7F49FA"/>
    <w:rsid w:val="4B8B339F"/>
    <w:rsid w:val="4D245859"/>
    <w:rsid w:val="4D6D5452"/>
    <w:rsid w:val="4D926C66"/>
    <w:rsid w:val="4E3441C2"/>
    <w:rsid w:val="4F5B752C"/>
    <w:rsid w:val="4F633DDE"/>
    <w:rsid w:val="52E04D61"/>
    <w:rsid w:val="56705FB3"/>
    <w:rsid w:val="57A52C26"/>
    <w:rsid w:val="57F91F71"/>
    <w:rsid w:val="599E06EE"/>
    <w:rsid w:val="59B12B6A"/>
    <w:rsid w:val="5AA61FA3"/>
    <w:rsid w:val="5AB53F94"/>
    <w:rsid w:val="5BF52419"/>
    <w:rsid w:val="5C411FAF"/>
    <w:rsid w:val="5C782DFE"/>
    <w:rsid w:val="5DBD31B4"/>
    <w:rsid w:val="5FFD7617"/>
    <w:rsid w:val="61B256D1"/>
    <w:rsid w:val="6265219D"/>
    <w:rsid w:val="62C01325"/>
    <w:rsid w:val="6440118C"/>
    <w:rsid w:val="64BE613B"/>
    <w:rsid w:val="66392B09"/>
    <w:rsid w:val="666B5E4F"/>
    <w:rsid w:val="6748223E"/>
    <w:rsid w:val="6813679E"/>
    <w:rsid w:val="690F766A"/>
    <w:rsid w:val="69820E7A"/>
    <w:rsid w:val="6A1265F0"/>
    <w:rsid w:val="6A681023"/>
    <w:rsid w:val="6B482C03"/>
    <w:rsid w:val="6B4B7BFC"/>
    <w:rsid w:val="6BFC3B49"/>
    <w:rsid w:val="6C037DCC"/>
    <w:rsid w:val="6D1E49F0"/>
    <w:rsid w:val="6D8F68C7"/>
    <w:rsid w:val="6DE05374"/>
    <w:rsid w:val="6E5049E1"/>
    <w:rsid w:val="6F851712"/>
    <w:rsid w:val="70944D11"/>
    <w:rsid w:val="71CC633B"/>
    <w:rsid w:val="725E1344"/>
    <w:rsid w:val="72BF2FE6"/>
    <w:rsid w:val="72C3522C"/>
    <w:rsid w:val="72F766A7"/>
    <w:rsid w:val="736937C4"/>
    <w:rsid w:val="737C5B3F"/>
    <w:rsid w:val="74B02546"/>
    <w:rsid w:val="75E21A64"/>
    <w:rsid w:val="76872831"/>
    <w:rsid w:val="770951FD"/>
    <w:rsid w:val="77447D75"/>
    <w:rsid w:val="77DF3A33"/>
    <w:rsid w:val="786F7A21"/>
    <w:rsid w:val="79B45BE2"/>
    <w:rsid w:val="7A0C479A"/>
    <w:rsid w:val="7A7D26B0"/>
    <w:rsid w:val="7AFE6E3A"/>
    <w:rsid w:val="7BD54E25"/>
    <w:rsid w:val="7C560276"/>
    <w:rsid w:val="7F22330A"/>
    <w:rsid w:val="7F345520"/>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段"/>
    <w:basedOn w:val="1"/>
    <w:next w:val="1"/>
    <w:qFormat/>
    <w:uiPriority w:val="0"/>
    <w:pPr>
      <w:widowControl/>
      <w:autoSpaceDE w:val="0"/>
      <w:autoSpaceDN w:val="0"/>
      <w:ind w:firstLine="420" w:firstLineChars="200"/>
    </w:pPr>
    <w:rPr>
      <w:rFonts w:ascii="宋体" w:hAnsi="Calibri" w:cs="宋体"/>
      <w:kern w:val="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99"/>
    <w:pPr>
      <w:spacing w:after="120" w:line="240" w:lineRule="auto"/>
      <w:jc w:val="both"/>
    </w:pPr>
    <w:rPr>
      <w:rFonts w:ascii="Times New Roman" w:hAnsi="Times New Roman" w:cs="Times New Roman"/>
      <w:kern w:val="0"/>
      <w:sz w:val="20"/>
      <w:szCs w:val="20"/>
    </w:rPr>
  </w:style>
  <w:style w:type="paragraph" w:styleId="10">
    <w:name w:val="toc 3"/>
    <w:basedOn w:val="1"/>
    <w:next w:val="1"/>
    <w:unhideWhenUsed/>
    <w:qFormat/>
    <w:uiPriority w:val="39"/>
    <w:pPr>
      <w:ind w:left="480"/>
    </w:pPr>
    <w:rPr>
      <w:rFonts w:asciiTheme="minorHAnsi" w:eastAsiaTheme="minorHAnsi"/>
      <w:i/>
      <w:iCs/>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pPr>
    <w:rPr>
      <w:rFonts w:asciiTheme="minorHAnsi" w:eastAsiaTheme="minorHAnsi"/>
      <w:b/>
      <w:bCs/>
      <w:caps/>
      <w:sz w:val="20"/>
      <w:szCs w:val="20"/>
    </w:rPr>
  </w:style>
  <w:style w:type="paragraph" w:styleId="14">
    <w:name w:val="toc 2"/>
    <w:basedOn w:val="1"/>
    <w:next w:val="1"/>
    <w:unhideWhenUsed/>
    <w:qFormat/>
    <w:uiPriority w:val="39"/>
    <w:pPr>
      <w:ind w:left="240"/>
    </w:pPr>
    <w:rPr>
      <w:rFonts w:asciiTheme="minorHAnsi" w:eastAsiaTheme="minorHAnsi"/>
      <w:smallCaps/>
      <w:sz w:val="20"/>
      <w:szCs w:val="20"/>
    </w:rPr>
  </w:style>
  <w:style w:type="paragraph" w:styleId="15">
    <w:name w:val="Normal (Web)"/>
    <w:basedOn w:val="1"/>
    <w:qFormat/>
    <w:uiPriority w:val="99"/>
    <w:pPr>
      <w:widowControl/>
      <w:spacing w:before="100" w:beforeAutospacing="1" w:after="100" w:afterAutospacing="1" w:line="240" w:lineRule="auto"/>
    </w:pPr>
    <w:rPr>
      <w:rFonts w:cs="宋体"/>
      <w:kern w:val="0"/>
      <w:szCs w:val="20"/>
    </w:rPr>
  </w:style>
  <w:style w:type="character" w:styleId="18">
    <w:name w:val="Hyperlink"/>
    <w:basedOn w:val="17"/>
    <w:unhideWhenUsed/>
    <w:qFormat/>
    <w:uiPriority w:val="99"/>
    <w:rPr>
      <w:color w:val="0026E5" w:themeColor="hyperlink"/>
      <w:u w:val="single"/>
      <w14:textFill>
        <w14:solidFill>
          <w14:schemeClr w14:val="hlink"/>
        </w14:solidFill>
      </w14:textFill>
    </w:rPr>
  </w:style>
  <w:style w:type="paragraph" w:customStyle="1" w:styleId="19">
    <w:name w:val="正文缩进2"/>
    <w:basedOn w:val="1"/>
    <w:qFormat/>
    <w:uiPriority w:val="0"/>
    <w:pPr>
      <w:wordWrap w:val="0"/>
      <w:ind w:firstLine="200" w:firstLineChars="200"/>
    </w:pPr>
  </w:style>
  <w:style w:type="paragraph" w:styleId="20">
    <w:name w:val="List Paragraph"/>
    <w:basedOn w:val="1"/>
    <w:qFormat/>
    <w:uiPriority w:val="34"/>
    <w:pPr>
      <w:ind w:firstLine="420" w:firstLineChars="200"/>
    </w:pPr>
  </w:style>
  <w:style w:type="paragraph" w:styleId="21">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3169</Words>
  <Characters>3394</Characters>
  <Lines>0</Lines>
  <Paragraphs>0</Paragraphs>
  <TotalTime>1</TotalTime>
  <ScaleCrop>false</ScaleCrop>
  <LinksUpToDate>false</LinksUpToDate>
  <CharactersWithSpaces>3429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2023-11-17T03:05:00Z</dcterms:created>
  <dc:creator>Administrator</dc:creator>
  <cp:lastModifiedBy>CCC</cp:lastModifiedBy>
  <cp:lastPrinted>2026-05-13T03:12:00Z</cp:lastPrinted>
  <dcterms:modified xsi:type="dcterms:W3CDTF">2026-05-14T02:49:58Z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B6781E8B8107491D9B00CA008AC73AB4_13</vt:lpwstr>
  </property>
  <property fmtid="{D5CDD505-2E9C-101B-9397-08002B2CF9AE}" pid="4" name="KSOTemplateDocerSaveRecord">
    <vt:lpwstr>eyJoZGlkIjoiMjg3ZDhjY2ZhNmQzNGY4MzRiOTllMTFhMGRjMGI3MjgiLCJ1c2VySWQiOiIxMTAwMzk5Mzc3In0=</vt:lpwstr>
  </property>
</Properties>
</file>